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6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УКАЗ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ПРЕЗИДЕНТА РЕСПУБЛИКИ БЕЛАРУСЬ</w:t>
      </w:r>
    </w:p>
    <w:p>
      <w:pPr>
        <w:spacing w:before="16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июня 2020 г. № 235</w:t>
      </w:r>
    </w:p>
    <w:p>
      <w:pPr>
        <w:spacing w:before="360" w:after="360" w:line="240"/>
        <w:ind w:right="2268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О дополнительных условиях возведения многоквартирных жилых домов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недопущения возведения многоквартирных жилых домов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превышением нормативных сроков строительства: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Установить, что возведение многоквартирных жилых домов осуществляется при условии заключения между местными исполнительными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распорядительными органами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застройщиками (заказчиками)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38C8"/>
            <w:spacing w:val="0"/>
            <w:position w:val="0"/>
            <w:sz w:val="24"/>
            <w:u w:val="single"/>
            <w:shd w:fill="auto" w:val="clear"/>
          </w:rPr>
          <w:t xml:space="preserve">договоров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реализацию права проектирования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строительства многоквартирных жилых домов (далее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договоры).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Договоры заключаются 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принятия местными исполнительными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распорядительными органами решений 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изъятии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предоставлении земельного участка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или)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разрешении проведения проектных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изыскательских работ, строительства объекта.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Обязанность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заключению застройщиком (заказчиком)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местным исполнительным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распорядительным органом договора подлежит указанию: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решении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проведении аукциона, если земельный участок предоставляется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результатам аукциона;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уведомлении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результатах рассмотрения заявления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предоставлении земельного участка, если земельный участок предоставляется без проведения аукциона.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Совету Министров Республики Беларусь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трехмесячный срок установить типовую форму договора, предусмотрев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 меры ответственности застройщиков (заказчиков)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невыполнение принятых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себя обязательств.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Указ вступает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силу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следующем порядке: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38C8"/>
          <w:spacing w:val="0"/>
          <w:position w:val="0"/>
          <w:sz w:val="24"/>
          <w:u w:val="single"/>
          <w:shd w:fill="auto" w:val="clear"/>
        </w:rPr>
        <w:t xml:space="preserve">пункт</w:t>
      </w:r>
      <w:r>
        <w:rPr>
          <w:rFonts w:ascii="Times New Roman" w:hAnsi="Times New Roman" w:cs="Times New Roman" w:eastAsia="Times New Roman"/>
          <w:color w:val="0038C8"/>
          <w:spacing w:val="0"/>
          <w:position w:val="0"/>
          <w:sz w:val="24"/>
          <w:u w:val="single"/>
          <w:shd w:fill="auto" w:val="clear"/>
        </w:rPr>
        <w:t xml:space="preserve"> 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три месяца после официального опубликования настоящего Указа;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положения этого Указа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его официального опубликования.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 настоящего Указа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распространяется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отношения, возникшие при возведении многоквартирных жилых домов, разрешительная документация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которым выдана 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вступления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силу </w:t>
      </w:r>
      <w:r>
        <w:rPr>
          <w:rFonts w:ascii="Times New Roman" w:hAnsi="Times New Roman" w:cs="Times New Roman" w:eastAsia="Times New Roman"/>
          <w:color w:val="0038C8"/>
          <w:spacing w:val="0"/>
          <w:position w:val="0"/>
          <w:sz w:val="24"/>
          <w:u w:val="single"/>
          <w:shd w:fill="auto" w:val="clear"/>
        </w:rPr>
        <w:t xml:space="preserve">пункта</w:t>
      </w:r>
      <w:r>
        <w:rPr>
          <w:rFonts w:ascii="Times New Roman" w:hAnsi="Times New Roman" w:cs="Times New Roman" w:eastAsia="Times New Roman"/>
          <w:color w:val="0038C8"/>
          <w:spacing w:val="0"/>
          <w:position w:val="0"/>
          <w:sz w:val="24"/>
          <w:u w:val="single"/>
          <w:shd w:fill="auto" w:val="clear"/>
        </w:rPr>
        <w:t xml:space="preserve"> 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Указа.</w:t>
      </w:r>
    </w:p>
    <w:p>
      <w:pPr>
        <w:spacing w:before="16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4686"/>
        <w:gridCol w:w="4686"/>
      </w:tblGrid>
      <w:tr>
        <w:trPr>
          <w:trHeight w:val="1" w:hRule="atLeast"/>
          <w:jc w:val="left"/>
        </w:trPr>
        <w:tc>
          <w:tcPr>
            <w:tcW w:w="4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spacing w:before="16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Президент Республики Беларусь</w:t>
            </w:r>
          </w:p>
        </w:tc>
        <w:tc>
          <w:tcPr>
            <w:tcW w:w="4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spacing w:before="160" w:after="16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А.Лукашенко</w:t>
            </w:r>
          </w:p>
        </w:tc>
      </w:tr>
    </w:tbl>
    <w:p>
      <w:pPr>
        <w:spacing w:before="16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file://C:\Users\User\Downloads\tx.dll?d=438818&amp;a=17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